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C4AC" w14:textId="77777777" w:rsidR="004C3D6F" w:rsidRPr="004C3D6F" w:rsidRDefault="004C3D6F" w:rsidP="004C3D6F">
      <w:pPr>
        <w:jc w:val="center"/>
        <w:rPr>
          <w:b/>
          <w:bCs/>
          <w:sz w:val="28"/>
          <w:szCs w:val="28"/>
        </w:rPr>
      </w:pPr>
      <w:r w:rsidRPr="004C3D6F">
        <w:rPr>
          <w:b/>
          <w:bCs/>
          <w:sz w:val="28"/>
          <w:szCs w:val="28"/>
        </w:rPr>
        <w:t>Aspecte aplicative aferente modului de întocmire a notelor aferente situațiilor financiare</w:t>
      </w:r>
    </w:p>
    <w:p w14:paraId="60A98808" w14:textId="77777777" w:rsidR="004C3D6F" w:rsidRDefault="004C3D6F" w:rsidP="004C3D6F">
      <w:pPr>
        <w:spacing w:line="360" w:lineRule="auto"/>
        <w:jc w:val="both"/>
        <w:rPr>
          <w:rFonts w:cstheme="minorHAnsi"/>
          <w:sz w:val="24"/>
          <w:szCs w:val="24"/>
        </w:rPr>
      </w:pPr>
      <w:r w:rsidRPr="004C3D6F">
        <w:rPr>
          <w:rFonts w:cstheme="minorHAnsi"/>
          <w:sz w:val="24"/>
          <w:szCs w:val="24"/>
        </w:rPr>
        <w:t xml:space="preserve">Nota explicativă </w:t>
      </w:r>
      <w:proofErr w:type="spellStart"/>
      <w:r w:rsidRPr="004C3D6F">
        <w:rPr>
          <w:rFonts w:cstheme="minorHAnsi"/>
          <w:sz w:val="24"/>
          <w:szCs w:val="24"/>
        </w:rPr>
        <w:t>conţine</w:t>
      </w:r>
      <w:proofErr w:type="spellEnd"/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cstheme="minorHAnsi"/>
          <w:sz w:val="24"/>
          <w:szCs w:val="24"/>
        </w:rPr>
        <w:t>informaţii</w:t>
      </w:r>
      <w:proofErr w:type="spellEnd"/>
      <w:r w:rsidRPr="004C3D6F">
        <w:rPr>
          <w:rFonts w:cstheme="minorHAnsi"/>
          <w:sz w:val="24"/>
          <w:szCs w:val="24"/>
        </w:rPr>
        <w:t xml:space="preserve"> suplimentare care nu sunt incluse în formatele de bază ale </w:t>
      </w:r>
      <w:proofErr w:type="spellStart"/>
      <w:r w:rsidRPr="004C3D6F">
        <w:rPr>
          <w:rFonts w:cstheme="minorHAnsi"/>
          <w:sz w:val="24"/>
          <w:szCs w:val="24"/>
        </w:rPr>
        <w:t>situaţiilor</w:t>
      </w:r>
      <w:proofErr w:type="spellEnd"/>
      <w:r w:rsidRPr="004C3D6F">
        <w:rPr>
          <w:rFonts w:cstheme="minorHAnsi"/>
          <w:sz w:val="24"/>
          <w:szCs w:val="24"/>
        </w:rPr>
        <w:t xml:space="preserve"> financiare. Nomenclatorul </w:t>
      </w:r>
      <w:proofErr w:type="spellStart"/>
      <w:r w:rsidRPr="004C3D6F">
        <w:rPr>
          <w:rFonts w:cstheme="minorHAnsi"/>
          <w:sz w:val="24"/>
          <w:szCs w:val="24"/>
        </w:rPr>
        <w:t>informaţiilor</w:t>
      </w:r>
      <w:proofErr w:type="spellEnd"/>
      <w:r w:rsidRPr="004C3D6F">
        <w:rPr>
          <w:rFonts w:cstheme="minorHAnsi"/>
          <w:sz w:val="24"/>
          <w:szCs w:val="24"/>
        </w:rPr>
        <w:t xml:space="preserve"> care trebuie prezentate în nota explicativă, precum </w:t>
      </w:r>
      <w:proofErr w:type="spellStart"/>
      <w:r w:rsidRPr="004C3D6F">
        <w:rPr>
          <w:rFonts w:cstheme="minorHAnsi"/>
          <w:sz w:val="24"/>
          <w:szCs w:val="24"/>
        </w:rPr>
        <w:t>şi</w:t>
      </w:r>
      <w:proofErr w:type="spellEnd"/>
      <w:r w:rsidRPr="004C3D6F">
        <w:rPr>
          <w:rFonts w:cstheme="minorHAnsi"/>
          <w:sz w:val="24"/>
          <w:szCs w:val="24"/>
        </w:rPr>
        <w:t xml:space="preserve"> modul de întocmire a acesteia sunt reglementate de prevederile Legii contabilității și raportării financiare </w:t>
      </w:r>
      <w:proofErr w:type="spellStart"/>
      <w:r w:rsidRPr="004C3D6F">
        <w:rPr>
          <w:rFonts w:cstheme="minorHAnsi"/>
          <w:sz w:val="24"/>
          <w:szCs w:val="24"/>
        </w:rPr>
        <w:t>şi</w:t>
      </w:r>
      <w:proofErr w:type="spellEnd"/>
      <w:r w:rsidRPr="004C3D6F">
        <w:rPr>
          <w:rFonts w:cstheme="minorHAnsi"/>
          <w:sz w:val="24"/>
          <w:szCs w:val="24"/>
        </w:rPr>
        <w:t xml:space="preserve"> ale compartimentelor „Prezentarea </w:t>
      </w:r>
      <w:proofErr w:type="spellStart"/>
      <w:r w:rsidRPr="004C3D6F">
        <w:rPr>
          <w:rFonts w:cstheme="minorHAnsi"/>
          <w:sz w:val="24"/>
          <w:szCs w:val="24"/>
        </w:rPr>
        <w:t>informaţiilor</w:t>
      </w:r>
      <w:proofErr w:type="spellEnd"/>
      <w:r w:rsidRPr="004C3D6F">
        <w:rPr>
          <w:rFonts w:cstheme="minorHAnsi"/>
          <w:sz w:val="24"/>
          <w:szCs w:val="24"/>
        </w:rPr>
        <w:t xml:space="preserve">” din SNC. La întocmirea notei explicative, este necesar să se </w:t>
      </w:r>
      <w:proofErr w:type="spellStart"/>
      <w:r w:rsidRPr="004C3D6F">
        <w:rPr>
          <w:rFonts w:cstheme="minorHAnsi"/>
          <w:sz w:val="24"/>
          <w:szCs w:val="24"/>
        </w:rPr>
        <w:t>ţină</w:t>
      </w:r>
      <w:proofErr w:type="spellEnd"/>
      <w:r w:rsidRPr="004C3D6F">
        <w:rPr>
          <w:rFonts w:cstheme="minorHAnsi"/>
          <w:sz w:val="24"/>
          <w:szCs w:val="24"/>
        </w:rPr>
        <w:t xml:space="preserve"> cont de următoarele aspecte principale: </w:t>
      </w:r>
      <w:r w:rsidRPr="004C3D6F">
        <w:rPr>
          <w:rFonts w:ascii="Arial" w:hAnsi="Arial" w:cs="Arial"/>
          <w:sz w:val="24"/>
          <w:szCs w:val="24"/>
        </w:rPr>
        <w:t>■</w:t>
      </w:r>
      <w:r w:rsidRPr="004C3D6F">
        <w:rPr>
          <w:rFonts w:cstheme="minorHAnsi"/>
          <w:sz w:val="24"/>
          <w:szCs w:val="24"/>
        </w:rPr>
        <w:t xml:space="preserve"> </w:t>
      </w:r>
      <w:r w:rsidRPr="004C3D6F">
        <w:rPr>
          <w:rFonts w:ascii="Calibri" w:hAnsi="Calibri" w:cs="Calibri"/>
          <w:sz w:val="24"/>
          <w:szCs w:val="24"/>
        </w:rPr>
        <w:t>î</w:t>
      </w:r>
      <w:r w:rsidRPr="004C3D6F">
        <w:rPr>
          <w:rFonts w:cstheme="minorHAnsi"/>
          <w:sz w:val="24"/>
          <w:szCs w:val="24"/>
        </w:rPr>
        <w:t>n nota explicativ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cstheme="minorHAnsi"/>
          <w:sz w:val="24"/>
          <w:szCs w:val="24"/>
        </w:rPr>
        <w:t>informa</w:t>
      </w:r>
      <w:r w:rsidRPr="004C3D6F">
        <w:rPr>
          <w:rFonts w:ascii="Calibri" w:hAnsi="Calibri" w:cs="Calibri"/>
          <w:sz w:val="24"/>
          <w:szCs w:val="24"/>
        </w:rPr>
        <w:t>ţ</w:t>
      </w:r>
      <w:r w:rsidRPr="004C3D6F">
        <w:rPr>
          <w:rFonts w:cstheme="minorHAnsi"/>
          <w:sz w:val="24"/>
          <w:szCs w:val="24"/>
        </w:rPr>
        <w:t>iile</w:t>
      </w:r>
      <w:proofErr w:type="spellEnd"/>
      <w:r w:rsidRPr="004C3D6F">
        <w:rPr>
          <w:rFonts w:cstheme="minorHAnsi"/>
          <w:sz w:val="24"/>
          <w:szCs w:val="24"/>
        </w:rPr>
        <w:t xml:space="preserve"> se prezint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 xml:space="preserve"> </w:t>
      </w:r>
      <w:r w:rsidRPr="004C3D6F">
        <w:rPr>
          <w:rFonts w:ascii="Calibri" w:hAnsi="Calibri" w:cs="Calibri"/>
          <w:sz w:val="24"/>
          <w:szCs w:val="24"/>
        </w:rPr>
        <w:t>î</w:t>
      </w:r>
      <w:r w:rsidRPr="004C3D6F">
        <w:rPr>
          <w:rFonts w:cstheme="minorHAnsi"/>
          <w:sz w:val="24"/>
          <w:szCs w:val="24"/>
        </w:rPr>
        <w:t xml:space="preserve">n </w:t>
      </w:r>
      <w:proofErr w:type="spellStart"/>
      <w:r w:rsidRPr="004C3D6F">
        <w:rPr>
          <w:rFonts w:cstheme="minorHAnsi"/>
          <w:sz w:val="24"/>
          <w:szCs w:val="24"/>
        </w:rPr>
        <w:t>aceea</w:t>
      </w:r>
      <w:r w:rsidRPr="004C3D6F">
        <w:rPr>
          <w:rFonts w:ascii="Calibri" w:hAnsi="Calibri" w:cs="Calibri"/>
          <w:sz w:val="24"/>
          <w:szCs w:val="24"/>
        </w:rPr>
        <w:t>ş</w:t>
      </w:r>
      <w:r w:rsidRPr="004C3D6F">
        <w:rPr>
          <w:rFonts w:cstheme="minorHAnsi"/>
          <w:sz w:val="24"/>
          <w:szCs w:val="24"/>
        </w:rPr>
        <w:t>i</w:t>
      </w:r>
      <w:proofErr w:type="spellEnd"/>
      <w:r w:rsidRPr="004C3D6F">
        <w:rPr>
          <w:rFonts w:cstheme="minorHAnsi"/>
          <w:sz w:val="24"/>
          <w:szCs w:val="24"/>
        </w:rPr>
        <w:t xml:space="preserve"> ordine ca </w:t>
      </w:r>
      <w:proofErr w:type="spellStart"/>
      <w:r w:rsidRPr="004C3D6F">
        <w:rPr>
          <w:rFonts w:ascii="Calibri" w:hAnsi="Calibri" w:cs="Calibri"/>
          <w:sz w:val="24"/>
          <w:szCs w:val="24"/>
        </w:rPr>
        <w:t>ş</w:t>
      </w:r>
      <w:r w:rsidRPr="004C3D6F">
        <w:rPr>
          <w:rFonts w:cstheme="minorHAnsi"/>
          <w:sz w:val="24"/>
          <w:szCs w:val="24"/>
        </w:rPr>
        <w:t>i</w:t>
      </w:r>
      <w:proofErr w:type="spellEnd"/>
      <w:r w:rsidRPr="004C3D6F">
        <w:rPr>
          <w:rFonts w:cstheme="minorHAnsi"/>
          <w:sz w:val="24"/>
          <w:szCs w:val="24"/>
        </w:rPr>
        <w:t xml:space="preserve"> elementele </w:t>
      </w:r>
      <w:proofErr w:type="spellStart"/>
      <w:r w:rsidRPr="004C3D6F">
        <w:rPr>
          <w:rFonts w:cstheme="minorHAnsi"/>
          <w:sz w:val="24"/>
          <w:szCs w:val="24"/>
        </w:rPr>
        <w:t>bilan</w:t>
      </w:r>
      <w:r w:rsidRPr="004C3D6F">
        <w:rPr>
          <w:rFonts w:ascii="Calibri" w:hAnsi="Calibri" w:cs="Calibri"/>
          <w:sz w:val="24"/>
          <w:szCs w:val="24"/>
        </w:rPr>
        <w:t>ţ</w:t>
      </w:r>
      <w:r w:rsidRPr="004C3D6F">
        <w:rPr>
          <w:rFonts w:cstheme="minorHAnsi"/>
          <w:sz w:val="24"/>
          <w:szCs w:val="24"/>
        </w:rPr>
        <w:t>ului</w:t>
      </w:r>
      <w:proofErr w:type="spellEnd"/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ascii="Calibri" w:hAnsi="Calibri" w:cs="Calibri"/>
          <w:sz w:val="24"/>
          <w:szCs w:val="24"/>
        </w:rPr>
        <w:t>ş</w:t>
      </w:r>
      <w:r w:rsidRPr="004C3D6F">
        <w:rPr>
          <w:rFonts w:cstheme="minorHAnsi"/>
          <w:sz w:val="24"/>
          <w:szCs w:val="24"/>
        </w:rPr>
        <w:t>i</w:t>
      </w:r>
      <w:proofErr w:type="spellEnd"/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cstheme="minorHAnsi"/>
          <w:sz w:val="24"/>
          <w:szCs w:val="24"/>
        </w:rPr>
        <w:t>situa</w:t>
      </w:r>
      <w:r w:rsidRPr="004C3D6F">
        <w:rPr>
          <w:rFonts w:ascii="Calibri" w:hAnsi="Calibri" w:cs="Calibri"/>
          <w:sz w:val="24"/>
          <w:szCs w:val="24"/>
        </w:rPr>
        <w:t>ţ</w:t>
      </w:r>
      <w:r w:rsidRPr="004C3D6F">
        <w:rPr>
          <w:rFonts w:cstheme="minorHAnsi"/>
          <w:sz w:val="24"/>
          <w:szCs w:val="24"/>
        </w:rPr>
        <w:t>iei</w:t>
      </w:r>
      <w:proofErr w:type="spellEnd"/>
      <w:r w:rsidRPr="004C3D6F">
        <w:rPr>
          <w:rFonts w:cstheme="minorHAnsi"/>
          <w:sz w:val="24"/>
          <w:szCs w:val="24"/>
        </w:rPr>
        <w:t xml:space="preserve"> de profit </w:t>
      </w:r>
      <w:proofErr w:type="spellStart"/>
      <w:r w:rsidRPr="004C3D6F">
        <w:rPr>
          <w:rFonts w:ascii="Calibri" w:hAnsi="Calibri" w:cs="Calibri"/>
          <w:sz w:val="24"/>
          <w:szCs w:val="24"/>
        </w:rPr>
        <w:t>ş</w:t>
      </w:r>
      <w:r w:rsidRPr="004C3D6F">
        <w:rPr>
          <w:rFonts w:cstheme="minorHAnsi"/>
          <w:sz w:val="24"/>
          <w:szCs w:val="24"/>
        </w:rPr>
        <w:t>i</w:t>
      </w:r>
      <w:proofErr w:type="spellEnd"/>
      <w:r w:rsidRPr="004C3D6F">
        <w:rPr>
          <w:rFonts w:cstheme="minorHAnsi"/>
          <w:sz w:val="24"/>
          <w:szCs w:val="24"/>
        </w:rPr>
        <w:t xml:space="preserve"> pierdere;</w:t>
      </w:r>
    </w:p>
    <w:p w14:paraId="0051977B" w14:textId="77777777" w:rsidR="004C3D6F" w:rsidRDefault="004C3D6F" w:rsidP="004C3D6F">
      <w:pPr>
        <w:spacing w:line="360" w:lineRule="auto"/>
        <w:jc w:val="both"/>
        <w:rPr>
          <w:rFonts w:cstheme="minorHAnsi"/>
          <w:sz w:val="24"/>
          <w:szCs w:val="24"/>
        </w:rPr>
      </w:pPr>
      <w:r w:rsidRPr="004C3D6F">
        <w:rPr>
          <w:rFonts w:cstheme="minorHAnsi"/>
          <w:sz w:val="24"/>
          <w:szCs w:val="24"/>
        </w:rPr>
        <w:t xml:space="preserve"> </w:t>
      </w:r>
      <w:r w:rsidRPr="004C3D6F">
        <w:rPr>
          <w:rFonts w:ascii="Arial" w:hAnsi="Arial" w:cs="Arial"/>
          <w:sz w:val="24"/>
          <w:szCs w:val="24"/>
        </w:rPr>
        <w:t>■</w:t>
      </w:r>
      <w:r w:rsidRPr="004C3D6F">
        <w:rPr>
          <w:rFonts w:cstheme="minorHAnsi"/>
          <w:sz w:val="24"/>
          <w:szCs w:val="24"/>
        </w:rPr>
        <w:t xml:space="preserve"> volumul, structura </w:t>
      </w:r>
      <w:proofErr w:type="spellStart"/>
      <w:r w:rsidRPr="004C3D6F">
        <w:rPr>
          <w:rFonts w:ascii="Calibri" w:hAnsi="Calibri" w:cs="Calibri"/>
          <w:sz w:val="24"/>
          <w:szCs w:val="24"/>
        </w:rPr>
        <w:t>ş</w:t>
      </w:r>
      <w:r w:rsidRPr="004C3D6F">
        <w:rPr>
          <w:rFonts w:cstheme="minorHAnsi"/>
          <w:sz w:val="24"/>
          <w:szCs w:val="24"/>
        </w:rPr>
        <w:t>i</w:t>
      </w:r>
      <w:proofErr w:type="spellEnd"/>
      <w:r w:rsidRPr="004C3D6F">
        <w:rPr>
          <w:rFonts w:cstheme="minorHAnsi"/>
          <w:sz w:val="24"/>
          <w:szCs w:val="24"/>
        </w:rPr>
        <w:t xml:space="preserve"> forma de prezentare a notei explicative se stabilesc de c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>tre entitate de sine st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>t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 xml:space="preserve">tor, </w:t>
      </w:r>
      <w:r w:rsidRPr="004C3D6F">
        <w:rPr>
          <w:rFonts w:ascii="Calibri" w:hAnsi="Calibri" w:cs="Calibri"/>
          <w:sz w:val="24"/>
          <w:szCs w:val="24"/>
        </w:rPr>
        <w:t>î</w:t>
      </w:r>
      <w:r w:rsidRPr="004C3D6F">
        <w:rPr>
          <w:rFonts w:cstheme="minorHAnsi"/>
          <w:sz w:val="24"/>
          <w:szCs w:val="24"/>
        </w:rPr>
        <w:t xml:space="preserve">n </w:t>
      </w:r>
      <w:proofErr w:type="spellStart"/>
      <w:r w:rsidRPr="004C3D6F">
        <w:rPr>
          <w:rFonts w:cstheme="minorHAnsi"/>
          <w:sz w:val="24"/>
          <w:szCs w:val="24"/>
        </w:rPr>
        <w:t>func</w:t>
      </w:r>
      <w:r w:rsidRPr="004C3D6F">
        <w:rPr>
          <w:rFonts w:ascii="Calibri" w:hAnsi="Calibri" w:cs="Calibri"/>
          <w:sz w:val="24"/>
          <w:szCs w:val="24"/>
        </w:rPr>
        <w:t>ţ</w:t>
      </w:r>
      <w:r w:rsidRPr="004C3D6F">
        <w:rPr>
          <w:rFonts w:cstheme="minorHAnsi"/>
          <w:sz w:val="24"/>
          <w:szCs w:val="24"/>
        </w:rPr>
        <w:t>ie</w:t>
      </w:r>
      <w:proofErr w:type="spellEnd"/>
      <w:r w:rsidRPr="004C3D6F">
        <w:rPr>
          <w:rFonts w:cstheme="minorHAnsi"/>
          <w:sz w:val="24"/>
          <w:szCs w:val="24"/>
        </w:rPr>
        <w:t xml:space="preserve"> de categoria acesteia, de dimensiunea, forma juridic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 xml:space="preserve"> de organizare, domeniul/profilul de activitate al acesteia, de </w:t>
      </w:r>
      <w:proofErr w:type="spellStart"/>
      <w:r w:rsidRPr="004C3D6F">
        <w:rPr>
          <w:rFonts w:cstheme="minorHAnsi"/>
          <w:sz w:val="24"/>
          <w:szCs w:val="24"/>
        </w:rPr>
        <w:t>necesităţile</w:t>
      </w:r>
      <w:proofErr w:type="spellEnd"/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cstheme="minorHAnsi"/>
          <w:sz w:val="24"/>
          <w:szCs w:val="24"/>
        </w:rPr>
        <w:t>informaţionale</w:t>
      </w:r>
      <w:proofErr w:type="spellEnd"/>
      <w:r w:rsidRPr="004C3D6F">
        <w:rPr>
          <w:rFonts w:cstheme="minorHAnsi"/>
          <w:sz w:val="24"/>
          <w:szCs w:val="24"/>
        </w:rPr>
        <w:t xml:space="preserve"> proprii </w:t>
      </w:r>
      <w:proofErr w:type="spellStart"/>
      <w:r w:rsidRPr="004C3D6F">
        <w:rPr>
          <w:rFonts w:cstheme="minorHAnsi"/>
          <w:sz w:val="24"/>
          <w:szCs w:val="24"/>
        </w:rPr>
        <w:t>şi</w:t>
      </w:r>
      <w:proofErr w:type="spellEnd"/>
      <w:r w:rsidRPr="004C3D6F">
        <w:rPr>
          <w:rFonts w:cstheme="minorHAnsi"/>
          <w:sz w:val="24"/>
          <w:szCs w:val="24"/>
        </w:rPr>
        <w:t xml:space="preserve"> de </w:t>
      </w:r>
      <w:proofErr w:type="spellStart"/>
      <w:r w:rsidRPr="004C3D6F">
        <w:rPr>
          <w:rFonts w:cstheme="minorHAnsi"/>
          <w:sz w:val="24"/>
          <w:szCs w:val="24"/>
        </w:rPr>
        <w:t>cerinţele</w:t>
      </w:r>
      <w:proofErr w:type="spellEnd"/>
      <w:r w:rsidRPr="004C3D6F">
        <w:rPr>
          <w:rFonts w:cstheme="minorHAnsi"/>
          <w:sz w:val="24"/>
          <w:szCs w:val="24"/>
        </w:rPr>
        <w:t xml:space="preserve"> Legii nr. 287/2017. De exemplu, </w:t>
      </w:r>
      <w:proofErr w:type="spellStart"/>
      <w:r w:rsidRPr="004C3D6F">
        <w:rPr>
          <w:rFonts w:cstheme="minorHAnsi"/>
          <w:sz w:val="24"/>
          <w:szCs w:val="24"/>
        </w:rPr>
        <w:t>informaţia</w:t>
      </w:r>
      <w:proofErr w:type="spellEnd"/>
      <w:r w:rsidRPr="004C3D6F">
        <w:rPr>
          <w:rFonts w:cstheme="minorHAnsi"/>
          <w:sz w:val="24"/>
          <w:szCs w:val="24"/>
        </w:rPr>
        <w:t xml:space="preserve"> în nota explicativă poate fi prezentată sub formă de text, tabele, scheme, diagrame, în formă combinată etc.; </w:t>
      </w:r>
    </w:p>
    <w:p w14:paraId="297494A3" w14:textId="77777777" w:rsidR="004C3D6F" w:rsidRDefault="004C3D6F" w:rsidP="004C3D6F">
      <w:pPr>
        <w:spacing w:line="360" w:lineRule="auto"/>
        <w:jc w:val="both"/>
        <w:rPr>
          <w:rFonts w:cstheme="minorHAnsi"/>
          <w:sz w:val="24"/>
          <w:szCs w:val="24"/>
        </w:rPr>
      </w:pPr>
      <w:r w:rsidRPr="004C3D6F">
        <w:rPr>
          <w:rFonts w:ascii="Arial" w:hAnsi="Arial" w:cs="Arial"/>
          <w:sz w:val="24"/>
          <w:szCs w:val="24"/>
        </w:rPr>
        <w:t>■</w:t>
      </w:r>
      <w:r w:rsidRPr="004C3D6F">
        <w:rPr>
          <w:rFonts w:cstheme="minorHAnsi"/>
          <w:sz w:val="24"/>
          <w:szCs w:val="24"/>
        </w:rPr>
        <w:t xml:space="preserve"> prevederile politicilor contabile aplicate de către entitate la calcularea indicatorilor </w:t>
      </w:r>
      <w:proofErr w:type="spellStart"/>
      <w:r w:rsidRPr="004C3D6F">
        <w:rPr>
          <w:rFonts w:cstheme="minorHAnsi"/>
          <w:sz w:val="24"/>
          <w:szCs w:val="24"/>
        </w:rPr>
        <w:t>situaţiilor</w:t>
      </w:r>
      <w:proofErr w:type="spellEnd"/>
      <w:r w:rsidRPr="004C3D6F">
        <w:rPr>
          <w:rFonts w:cstheme="minorHAnsi"/>
          <w:sz w:val="24"/>
          <w:szCs w:val="24"/>
        </w:rPr>
        <w:t xml:space="preserve"> financiare pot fi prezentate într-un compartiment distinct sau în diferite compartimente ale notei explicativ</w:t>
      </w:r>
      <w:r>
        <w:rPr>
          <w:rFonts w:cstheme="minorHAnsi"/>
          <w:sz w:val="24"/>
          <w:szCs w:val="24"/>
        </w:rPr>
        <w:t>e</w:t>
      </w:r>
      <w:r w:rsidRPr="004C3D6F">
        <w:rPr>
          <w:rFonts w:cstheme="minorHAnsi"/>
          <w:sz w:val="24"/>
          <w:szCs w:val="24"/>
        </w:rPr>
        <w:t xml:space="preserve">. De exemplu, procedeele de </w:t>
      </w:r>
      <w:proofErr w:type="spellStart"/>
      <w:r w:rsidRPr="004C3D6F">
        <w:rPr>
          <w:rFonts w:cstheme="minorHAnsi"/>
          <w:sz w:val="24"/>
          <w:szCs w:val="24"/>
        </w:rPr>
        <w:t>evidenţă</w:t>
      </w:r>
      <w:proofErr w:type="spellEnd"/>
      <w:r w:rsidRPr="004C3D6F">
        <w:rPr>
          <w:rFonts w:cstheme="minorHAnsi"/>
          <w:sz w:val="24"/>
          <w:szCs w:val="24"/>
        </w:rPr>
        <w:t xml:space="preserve"> a imobilizărilor necorporale </w:t>
      </w:r>
      <w:proofErr w:type="spellStart"/>
      <w:r w:rsidRPr="004C3D6F">
        <w:rPr>
          <w:rFonts w:cstheme="minorHAnsi"/>
          <w:sz w:val="24"/>
          <w:szCs w:val="24"/>
        </w:rPr>
        <w:t>şi</w:t>
      </w:r>
      <w:proofErr w:type="spellEnd"/>
      <w:r w:rsidRPr="004C3D6F">
        <w:rPr>
          <w:rFonts w:cstheme="minorHAnsi"/>
          <w:sz w:val="24"/>
          <w:szCs w:val="24"/>
        </w:rPr>
        <w:t xml:space="preserve"> corporale, a stocurilor, </w:t>
      </w:r>
      <w:proofErr w:type="spellStart"/>
      <w:r w:rsidRPr="004C3D6F">
        <w:rPr>
          <w:rFonts w:cstheme="minorHAnsi"/>
          <w:sz w:val="24"/>
          <w:szCs w:val="24"/>
        </w:rPr>
        <w:t>creanţelor</w:t>
      </w:r>
      <w:proofErr w:type="spellEnd"/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cstheme="minorHAnsi"/>
          <w:sz w:val="24"/>
          <w:szCs w:val="24"/>
        </w:rPr>
        <w:t>şi</w:t>
      </w:r>
      <w:proofErr w:type="spellEnd"/>
      <w:r w:rsidRPr="004C3D6F">
        <w:rPr>
          <w:rFonts w:cstheme="minorHAnsi"/>
          <w:sz w:val="24"/>
          <w:szCs w:val="24"/>
        </w:rPr>
        <w:t xml:space="preserve"> datoriilor, a veniturilor </w:t>
      </w:r>
      <w:proofErr w:type="spellStart"/>
      <w:r w:rsidRPr="004C3D6F">
        <w:rPr>
          <w:rFonts w:cstheme="minorHAnsi"/>
          <w:sz w:val="24"/>
          <w:szCs w:val="24"/>
        </w:rPr>
        <w:t>şi</w:t>
      </w:r>
      <w:proofErr w:type="spellEnd"/>
      <w:r w:rsidRPr="004C3D6F">
        <w:rPr>
          <w:rFonts w:cstheme="minorHAnsi"/>
          <w:sz w:val="24"/>
          <w:szCs w:val="24"/>
        </w:rPr>
        <w:t xml:space="preserve"> cheltuielilor pot fi prezentate în compartimentele în care sunt dezvăluite </w:t>
      </w:r>
      <w:proofErr w:type="spellStart"/>
      <w:r w:rsidRPr="004C3D6F">
        <w:rPr>
          <w:rFonts w:cstheme="minorHAnsi"/>
          <w:sz w:val="24"/>
          <w:szCs w:val="24"/>
        </w:rPr>
        <w:t>informaţiile</w:t>
      </w:r>
      <w:proofErr w:type="spellEnd"/>
      <w:r w:rsidRPr="004C3D6F">
        <w:rPr>
          <w:rFonts w:cstheme="minorHAnsi"/>
          <w:sz w:val="24"/>
          <w:szCs w:val="24"/>
        </w:rPr>
        <w:t xml:space="preserve"> aferente acestor elemente contabile; </w:t>
      </w:r>
    </w:p>
    <w:p w14:paraId="1A244CF8" w14:textId="027DA6CC" w:rsidR="00760635" w:rsidRPr="004C3D6F" w:rsidRDefault="004C3D6F" w:rsidP="004C3D6F">
      <w:pPr>
        <w:spacing w:line="360" w:lineRule="auto"/>
        <w:jc w:val="both"/>
        <w:rPr>
          <w:rFonts w:cstheme="minorHAnsi"/>
          <w:sz w:val="24"/>
          <w:szCs w:val="24"/>
        </w:rPr>
      </w:pPr>
      <w:r w:rsidRPr="004C3D6F">
        <w:rPr>
          <w:rFonts w:ascii="Arial" w:hAnsi="Arial" w:cs="Arial"/>
          <w:sz w:val="24"/>
          <w:szCs w:val="24"/>
        </w:rPr>
        <w:t>■</w:t>
      </w:r>
      <w:r w:rsidRPr="004C3D6F">
        <w:rPr>
          <w:rFonts w:cstheme="minorHAnsi"/>
          <w:sz w:val="24"/>
          <w:szCs w:val="24"/>
        </w:rPr>
        <w:t xml:space="preserve"> </w:t>
      </w:r>
      <w:proofErr w:type="spellStart"/>
      <w:r w:rsidRPr="004C3D6F">
        <w:rPr>
          <w:rFonts w:cstheme="minorHAnsi"/>
          <w:sz w:val="24"/>
          <w:szCs w:val="24"/>
        </w:rPr>
        <w:t>informa</w:t>
      </w:r>
      <w:r w:rsidRPr="004C3D6F">
        <w:rPr>
          <w:rFonts w:ascii="Calibri" w:hAnsi="Calibri" w:cs="Calibri"/>
          <w:sz w:val="24"/>
          <w:szCs w:val="24"/>
        </w:rPr>
        <w:t>ţ</w:t>
      </w:r>
      <w:r w:rsidRPr="004C3D6F">
        <w:rPr>
          <w:rFonts w:cstheme="minorHAnsi"/>
          <w:sz w:val="24"/>
          <w:szCs w:val="24"/>
        </w:rPr>
        <w:t>ia</w:t>
      </w:r>
      <w:proofErr w:type="spellEnd"/>
      <w:r w:rsidRPr="004C3D6F">
        <w:rPr>
          <w:rFonts w:cstheme="minorHAnsi"/>
          <w:sz w:val="24"/>
          <w:szCs w:val="24"/>
        </w:rPr>
        <w:t xml:space="preserve"> prev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>zut</w:t>
      </w:r>
      <w:r w:rsidRPr="004C3D6F">
        <w:rPr>
          <w:rFonts w:ascii="Calibri" w:hAnsi="Calibri" w:cs="Calibri"/>
          <w:sz w:val="24"/>
          <w:szCs w:val="24"/>
        </w:rPr>
        <w:t>ă</w:t>
      </w:r>
      <w:r w:rsidRPr="004C3D6F">
        <w:rPr>
          <w:rFonts w:cstheme="minorHAnsi"/>
          <w:sz w:val="24"/>
          <w:szCs w:val="24"/>
        </w:rPr>
        <w:t xml:space="preserve"> </w:t>
      </w:r>
      <w:r w:rsidRPr="004C3D6F">
        <w:rPr>
          <w:rFonts w:ascii="Calibri" w:hAnsi="Calibri" w:cs="Calibri"/>
          <w:sz w:val="24"/>
          <w:szCs w:val="24"/>
        </w:rPr>
        <w:t>î</w:t>
      </w:r>
      <w:r w:rsidRPr="004C3D6F">
        <w:rPr>
          <w:rFonts w:cstheme="minorHAnsi"/>
          <w:sz w:val="24"/>
          <w:szCs w:val="24"/>
        </w:rPr>
        <w:t xml:space="preserve">n compartimentele </w:t>
      </w:r>
      <w:r w:rsidRPr="004C3D6F">
        <w:rPr>
          <w:rFonts w:ascii="Calibri" w:hAnsi="Calibri" w:cs="Calibri"/>
          <w:sz w:val="24"/>
          <w:szCs w:val="24"/>
        </w:rPr>
        <w:t>„</w:t>
      </w:r>
      <w:r w:rsidRPr="004C3D6F">
        <w:rPr>
          <w:rFonts w:cstheme="minorHAnsi"/>
          <w:sz w:val="24"/>
          <w:szCs w:val="24"/>
        </w:rPr>
        <w:t xml:space="preserve">Prezentarea </w:t>
      </w:r>
      <w:proofErr w:type="spellStart"/>
      <w:r w:rsidRPr="004C3D6F">
        <w:rPr>
          <w:rFonts w:cstheme="minorHAnsi"/>
          <w:sz w:val="24"/>
          <w:szCs w:val="24"/>
        </w:rPr>
        <w:t>informaţiilor</w:t>
      </w:r>
      <w:proofErr w:type="spellEnd"/>
      <w:r w:rsidRPr="004C3D6F">
        <w:rPr>
          <w:rFonts w:cstheme="minorHAnsi"/>
          <w:sz w:val="24"/>
          <w:szCs w:val="24"/>
        </w:rPr>
        <w:t xml:space="preserve">” din SNC este obligatorie doar pentru </w:t>
      </w:r>
      <w:proofErr w:type="spellStart"/>
      <w:r w:rsidRPr="004C3D6F">
        <w:rPr>
          <w:rFonts w:cstheme="minorHAnsi"/>
          <w:sz w:val="24"/>
          <w:szCs w:val="24"/>
        </w:rPr>
        <w:t>entităţile</w:t>
      </w:r>
      <w:proofErr w:type="spellEnd"/>
      <w:r w:rsidRPr="004C3D6F">
        <w:rPr>
          <w:rFonts w:cstheme="minorHAnsi"/>
          <w:sz w:val="24"/>
          <w:szCs w:val="24"/>
        </w:rPr>
        <w:t xml:space="preserve"> care întocmesc </w:t>
      </w:r>
      <w:proofErr w:type="spellStart"/>
      <w:r w:rsidRPr="004C3D6F">
        <w:rPr>
          <w:rFonts w:cstheme="minorHAnsi"/>
          <w:sz w:val="24"/>
          <w:szCs w:val="24"/>
        </w:rPr>
        <w:t>situaţii</w:t>
      </w:r>
      <w:proofErr w:type="spellEnd"/>
      <w:r w:rsidRPr="004C3D6F">
        <w:rPr>
          <w:rFonts w:cstheme="minorHAnsi"/>
          <w:sz w:val="24"/>
          <w:szCs w:val="24"/>
        </w:rPr>
        <w:t xml:space="preserve"> financiare complete. </w:t>
      </w:r>
      <w:proofErr w:type="spellStart"/>
      <w:r w:rsidRPr="004C3D6F">
        <w:rPr>
          <w:rFonts w:cstheme="minorHAnsi"/>
          <w:sz w:val="24"/>
          <w:szCs w:val="24"/>
        </w:rPr>
        <w:t>Entităţile</w:t>
      </w:r>
      <w:proofErr w:type="spellEnd"/>
      <w:r w:rsidRPr="004C3D6F">
        <w:rPr>
          <w:rFonts w:cstheme="minorHAnsi"/>
          <w:sz w:val="24"/>
          <w:szCs w:val="24"/>
        </w:rPr>
        <w:t xml:space="preserve"> care întocmesc </w:t>
      </w:r>
      <w:proofErr w:type="spellStart"/>
      <w:r w:rsidRPr="004C3D6F">
        <w:rPr>
          <w:rFonts w:cstheme="minorHAnsi"/>
          <w:sz w:val="24"/>
          <w:szCs w:val="24"/>
        </w:rPr>
        <w:t>situaţii</w:t>
      </w:r>
      <w:proofErr w:type="spellEnd"/>
      <w:r w:rsidRPr="004C3D6F">
        <w:rPr>
          <w:rFonts w:cstheme="minorHAnsi"/>
          <w:sz w:val="24"/>
          <w:szCs w:val="24"/>
        </w:rPr>
        <w:t xml:space="preserve"> financiare simplificate sau prescurtate pot să includă în nota explicativă doar </w:t>
      </w:r>
      <w:proofErr w:type="spellStart"/>
      <w:r w:rsidRPr="004C3D6F">
        <w:rPr>
          <w:rFonts w:cstheme="minorHAnsi"/>
          <w:sz w:val="24"/>
          <w:szCs w:val="24"/>
        </w:rPr>
        <w:t>informaţiile</w:t>
      </w:r>
      <w:proofErr w:type="spellEnd"/>
      <w:r w:rsidRPr="004C3D6F">
        <w:rPr>
          <w:rFonts w:cstheme="minorHAnsi"/>
          <w:sz w:val="24"/>
          <w:szCs w:val="24"/>
        </w:rPr>
        <w:t xml:space="preserve"> prevăzute la art. 22 din Legea contabilității și raportării financiare.</w:t>
      </w:r>
    </w:p>
    <w:sectPr w:rsidR="00760635" w:rsidRPr="004C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18"/>
    <w:rsid w:val="004C3D6F"/>
    <w:rsid w:val="00760635"/>
    <w:rsid w:val="00A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5833"/>
  <w15:chartTrackingRefBased/>
  <w15:docId w15:val="{DA5B5197-E7B3-426F-85AE-3AA1E9C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Bespalco</dc:creator>
  <cp:keywords/>
  <dc:description/>
  <cp:lastModifiedBy>Alexandra Bespalco</cp:lastModifiedBy>
  <cp:revision>2</cp:revision>
  <dcterms:created xsi:type="dcterms:W3CDTF">2026-03-31T19:30:00Z</dcterms:created>
  <dcterms:modified xsi:type="dcterms:W3CDTF">2026-03-31T19:32:00Z</dcterms:modified>
</cp:coreProperties>
</file>